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65" w:rsidRDefault="00C9534C">
      <w:pPr>
        <w:pStyle w:val="Heading1"/>
        <w:spacing w:before="72" w:line="240" w:lineRule="auto"/>
        <w:ind w:left="1042" w:right="1040"/>
        <w:jc w:val="center"/>
      </w:pPr>
      <w:r>
        <w:rPr>
          <w:color w:val="1E487C"/>
        </w:rPr>
        <w:t>Sprzedaż lokali mieszkalnych</w:t>
      </w:r>
    </w:p>
    <w:p w:rsidR="008D5B65" w:rsidRDefault="00C9534C">
      <w:pPr>
        <w:ind w:left="1042" w:right="1043"/>
        <w:jc w:val="center"/>
        <w:rPr>
          <w:b/>
          <w:sz w:val="24"/>
        </w:rPr>
      </w:pPr>
      <w:r>
        <w:rPr>
          <w:b/>
          <w:color w:val="1E487C"/>
          <w:sz w:val="24"/>
        </w:rPr>
        <w:t>stanowiących własność Gminy Borne Sulinowo na rzecz ich najemców</w:t>
      </w:r>
    </w:p>
    <w:p w:rsidR="008D5B65" w:rsidRDefault="008D5B65">
      <w:pPr>
        <w:pStyle w:val="Tekstpodstawowy"/>
        <w:ind w:left="0"/>
        <w:rPr>
          <w:b/>
        </w:rPr>
      </w:pPr>
    </w:p>
    <w:p w:rsidR="008D5B65" w:rsidRDefault="00C9534C">
      <w:pPr>
        <w:spacing w:before="1" w:line="274" w:lineRule="exact"/>
        <w:ind w:left="115"/>
        <w:rPr>
          <w:b/>
          <w:sz w:val="24"/>
        </w:rPr>
      </w:pPr>
      <w:r>
        <w:rPr>
          <w:b/>
          <w:color w:val="1E487C"/>
          <w:sz w:val="24"/>
        </w:rPr>
        <w:t>Wymagane dokumenty:</w:t>
      </w:r>
    </w:p>
    <w:p w:rsidR="008D5B65" w:rsidRDefault="00C9534C">
      <w:pPr>
        <w:pStyle w:val="Tekstpodstawowy"/>
        <w:spacing w:line="274" w:lineRule="exact"/>
      </w:pPr>
      <w:r>
        <w:t>Wniosek</w:t>
      </w:r>
    </w:p>
    <w:p w:rsidR="008D5B65" w:rsidRDefault="008D5B65">
      <w:pPr>
        <w:pStyle w:val="Tekstpodstawowy"/>
        <w:spacing w:before="4"/>
        <w:ind w:left="0"/>
      </w:pPr>
    </w:p>
    <w:p w:rsidR="008D5B65" w:rsidRDefault="00C9534C">
      <w:pPr>
        <w:pStyle w:val="Heading1"/>
      </w:pPr>
      <w:r>
        <w:rPr>
          <w:color w:val="1E487C"/>
        </w:rPr>
        <w:t>Opłaty:</w:t>
      </w:r>
    </w:p>
    <w:p w:rsidR="008D5B65" w:rsidRDefault="00C9534C" w:rsidP="00C9534C">
      <w:pPr>
        <w:pStyle w:val="Tekstpodstawowy"/>
        <w:ind w:right="4033"/>
      </w:pPr>
      <w:r>
        <w:t xml:space="preserve">Od wniosku nie pobiera się opłaty skarbowej. </w:t>
      </w:r>
    </w:p>
    <w:p w:rsidR="008D5B65" w:rsidRDefault="008D5B65">
      <w:pPr>
        <w:pStyle w:val="Tekstpodstawowy"/>
        <w:spacing w:before="3"/>
        <w:ind w:left="0"/>
      </w:pPr>
    </w:p>
    <w:p w:rsidR="008D5B65" w:rsidRDefault="00C9534C">
      <w:pPr>
        <w:pStyle w:val="Heading1"/>
      </w:pPr>
      <w:r>
        <w:rPr>
          <w:color w:val="1E487C"/>
        </w:rPr>
        <w:t>Miejsce złożenia dokumentów:</w:t>
      </w:r>
    </w:p>
    <w:p w:rsidR="008D5B65" w:rsidRDefault="00C9534C">
      <w:pPr>
        <w:pStyle w:val="Tekstpodstawowy"/>
        <w:spacing w:line="274" w:lineRule="exact"/>
      </w:pPr>
      <w:r>
        <w:t>Biuro Obsługi Interesanta Urzędu Miejskiego w Bornem Sulinowie.</w:t>
      </w:r>
    </w:p>
    <w:p w:rsidR="008D5B65" w:rsidRDefault="008D5B65">
      <w:pPr>
        <w:pStyle w:val="Tekstpodstawowy"/>
        <w:spacing w:before="5"/>
        <w:ind w:left="0"/>
      </w:pPr>
    </w:p>
    <w:p w:rsidR="008D5B65" w:rsidRDefault="00C9534C">
      <w:pPr>
        <w:pStyle w:val="Heading1"/>
        <w:jc w:val="both"/>
      </w:pPr>
      <w:r>
        <w:rPr>
          <w:color w:val="1E487C"/>
        </w:rPr>
        <w:t>Termin i sposób załatwienia sprawy:</w:t>
      </w:r>
    </w:p>
    <w:p w:rsidR="008D5B65" w:rsidRDefault="00C9534C">
      <w:pPr>
        <w:pStyle w:val="Tekstpodstawowy"/>
        <w:ind w:right="105"/>
        <w:jc w:val="both"/>
      </w:pPr>
      <w:r>
        <w:t>Z chwilą otrzymania wniosku Referat Gospodarki Nieruchomościami zleca rzeczoznawcy majątkowemu sporządzenie wyceny przedmiotowego lokalu mieszkalnego lub budynku mieszkalnego    oraz    wykonanie    inwentaryzacji    celem    pozyskania    zaświadczenia,    o samodzielności lokalu. Z chwilą otrzymaniu wyceny Referat  Gospodarki Nieruchomościami przygotowuje projekt uchwały o zbyciu lokalu. Po podjęciu przez Radę Miejską w Bornem Sulinowie pozytywnej uchwały o przeznaczeniu lokalu do zbycia, sporządza się wykaz nieruchomości do sprzedaży, który zostaje podany do publicznej wiadomości poprzez zamieszczenie na okres 21 dni na tablicy ogłoszeń w siedzibie tut. Urzędu, na stronie internetowej oraz w BIP. Informacja o zamieszczeniu wykazu publikowana jest w prasie lokalnej. Po upływie terminów wynikających z ustawy Referat Gospodarki Nieruchomościami przygotowuje stosowne dokumenty niezbędne do zawarcia aktu notarialnego m.in. protokół uzgodnień, który stanowi podstawą zawarcia umowy notarialnej, zleca wykonanie wypisów i wyrysów z ewidencji gruntów i budynków, pozyskuje zaświadczenie o samodzielności lokalu i odpis z</w:t>
      </w:r>
      <w:r>
        <w:rPr>
          <w:spacing w:val="-2"/>
        </w:rPr>
        <w:t xml:space="preserve"> </w:t>
      </w:r>
      <w:r>
        <w:t>KW.</w:t>
      </w:r>
    </w:p>
    <w:p w:rsidR="008D5B65" w:rsidRDefault="00C9534C">
      <w:pPr>
        <w:pStyle w:val="Tekstpodstawowy"/>
        <w:ind w:right="110"/>
        <w:jc w:val="both"/>
      </w:pPr>
      <w:r>
        <w:t>Termin załatwienia wniosku o nabycie lokalu trwa ok. 4 - 5 miesięcy. O wszystkich czynnościach toczących się w sprawie wnioskodawca jest informowany w formie pisemnej.</w:t>
      </w:r>
    </w:p>
    <w:p w:rsidR="008D5B65" w:rsidRDefault="008D5B65">
      <w:pPr>
        <w:pStyle w:val="Tekstpodstawowy"/>
        <w:spacing w:before="2"/>
        <w:ind w:left="0"/>
      </w:pPr>
    </w:p>
    <w:p w:rsidR="008D5B65" w:rsidRDefault="00C9534C">
      <w:pPr>
        <w:pStyle w:val="Heading1"/>
        <w:spacing w:before="1"/>
      </w:pPr>
      <w:r>
        <w:rPr>
          <w:color w:val="1E487C"/>
        </w:rPr>
        <w:t>Jednostka odpowiedzialna:</w:t>
      </w:r>
    </w:p>
    <w:p w:rsidR="00C9534C" w:rsidRDefault="009E0CE0" w:rsidP="00C9534C">
      <w:pPr>
        <w:pStyle w:val="Tekstpodstawowy"/>
        <w:ind w:right="86"/>
      </w:pPr>
      <w:r>
        <w:t xml:space="preserve">Kierownik </w:t>
      </w:r>
      <w:r w:rsidR="00C9534C">
        <w:t>Referat</w:t>
      </w:r>
      <w:r>
        <w:t>u</w:t>
      </w:r>
      <w:r w:rsidR="00C9534C">
        <w:t xml:space="preserve"> Gospodarki Nieruch</w:t>
      </w:r>
      <w:r>
        <w:t xml:space="preserve">omościami </w:t>
      </w:r>
    </w:p>
    <w:p w:rsidR="008D5B65" w:rsidRDefault="009E0CE0" w:rsidP="00C9534C">
      <w:pPr>
        <w:pStyle w:val="Tekstpodstawowy"/>
        <w:ind w:right="1540"/>
      </w:pPr>
      <w:r>
        <w:t>pok. nr 15</w:t>
      </w:r>
      <w:r w:rsidR="00C9534C">
        <w:t>, tel. 94</w:t>
      </w:r>
      <w:r w:rsidR="00C9534C">
        <w:rPr>
          <w:spacing w:val="59"/>
        </w:rPr>
        <w:t xml:space="preserve"> </w:t>
      </w:r>
      <w:r w:rsidR="00C9534C">
        <w:t>37-34-151</w:t>
      </w:r>
    </w:p>
    <w:p w:rsidR="008D5B65" w:rsidRDefault="008D5B65">
      <w:pPr>
        <w:pStyle w:val="Tekstpodstawowy"/>
        <w:spacing w:before="2"/>
        <w:ind w:left="0"/>
      </w:pPr>
    </w:p>
    <w:p w:rsidR="008D5B65" w:rsidRDefault="00C9534C">
      <w:pPr>
        <w:pStyle w:val="Heading1"/>
      </w:pPr>
      <w:r>
        <w:rPr>
          <w:color w:val="1E487C"/>
        </w:rPr>
        <w:t>Dodatkowe informacje:</w:t>
      </w:r>
    </w:p>
    <w:p w:rsidR="008D5B65" w:rsidRDefault="00C9534C">
      <w:pPr>
        <w:pStyle w:val="Akapitzlist"/>
        <w:numPr>
          <w:ilvl w:val="0"/>
          <w:numId w:val="1"/>
        </w:numPr>
        <w:tabs>
          <w:tab w:val="left" w:pos="297"/>
        </w:tabs>
        <w:ind w:left="115" w:right="172" w:firstLine="0"/>
        <w:rPr>
          <w:sz w:val="24"/>
        </w:rPr>
      </w:pPr>
      <w:r>
        <w:rPr>
          <w:sz w:val="24"/>
        </w:rPr>
        <w:t>Pierwszeństwo w nabyciu nieruchomości lokalowej lub domu jednorodzinnego przysługuje najemcom, którzy mają zawarte umowy najmu na czas</w:t>
      </w:r>
      <w:r>
        <w:rPr>
          <w:spacing w:val="-11"/>
          <w:sz w:val="24"/>
        </w:rPr>
        <w:t xml:space="preserve"> </w:t>
      </w:r>
      <w:r>
        <w:rPr>
          <w:sz w:val="24"/>
        </w:rPr>
        <w:t>nieoznaczony.</w:t>
      </w:r>
    </w:p>
    <w:p w:rsidR="008D5B65" w:rsidRDefault="00C9534C">
      <w:pPr>
        <w:pStyle w:val="Akapitzlist"/>
        <w:numPr>
          <w:ilvl w:val="0"/>
          <w:numId w:val="1"/>
        </w:numPr>
        <w:tabs>
          <w:tab w:val="left" w:pos="299"/>
        </w:tabs>
        <w:ind w:left="115" w:right="108" w:firstLine="0"/>
        <w:rPr>
          <w:sz w:val="24"/>
        </w:rPr>
      </w:pPr>
      <w:r>
        <w:rPr>
          <w:sz w:val="24"/>
        </w:rPr>
        <w:t>Lokale sprzedawane są na zasadach określonych w indywidualnych uchwałach Rady Miejskiej w Bornem</w:t>
      </w:r>
      <w:r>
        <w:rPr>
          <w:spacing w:val="-2"/>
          <w:sz w:val="24"/>
        </w:rPr>
        <w:t xml:space="preserve"> </w:t>
      </w:r>
      <w:r>
        <w:rPr>
          <w:sz w:val="24"/>
        </w:rPr>
        <w:t>Sulinowie.</w:t>
      </w:r>
    </w:p>
    <w:p w:rsidR="008D5B65" w:rsidRDefault="008D5B65">
      <w:pPr>
        <w:pStyle w:val="Tekstpodstawowy"/>
        <w:ind w:left="0"/>
        <w:rPr>
          <w:sz w:val="26"/>
        </w:rPr>
      </w:pPr>
    </w:p>
    <w:p w:rsidR="008D5B65" w:rsidRDefault="008D5B65">
      <w:pPr>
        <w:pStyle w:val="Tekstpodstawowy"/>
        <w:spacing w:before="2"/>
        <w:ind w:left="0"/>
        <w:rPr>
          <w:sz w:val="22"/>
        </w:rPr>
      </w:pPr>
    </w:p>
    <w:p w:rsidR="008D5B65" w:rsidRDefault="00C9534C">
      <w:pPr>
        <w:pStyle w:val="Heading1"/>
        <w:spacing w:before="1"/>
      </w:pPr>
      <w:r>
        <w:rPr>
          <w:color w:val="1E487C"/>
        </w:rPr>
        <w:t>Podstawa prawna:</w:t>
      </w:r>
    </w:p>
    <w:p w:rsidR="008D5B65" w:rsidRDefault="00C9534C">
      <w:pPr>
        <w:pStyle w:val="Akapitzlist"/>
        <w:numPr>
          <w:ilvl w:val="0"/>
          <w:numId w:val="2"/>
        </w:numPr>
        <w:tabs>
          <w:tab w:val="left" w:pos="272"/>
        </w:tabs>
        <w:ind w:right="107" w:hanging="142"/>
        <w:rPr>
          <w:sz w:val="24"/>
        </w:rPr>
      </w:pPr>
      <w:r>
        <w:rPr>
          <w:sz w:val="24"/>
        </w:rPr>
        <w:t>Art. 34 ust. pkt 3, art. 68 ust. 1 pkt. 7, art. 70 ust. 1 pkt 2 ustawy z dnia 21 sierpnia 1997r.    o gospodarce nieruchomościami (Dz. U. z 202</w:t>
      </w:r>
      <w:r w:rsidR="009E0CE0">
        <w:rPr>
          <w:sz w:val="24"/>
        </w:rPr>
        <w:t>3r., poz. 344 z późn. zm.</w:t>
      </w:r>
      <w:r>
        <w:rPr>
          <w:sz w:val="24"/>
        </w:rPr>
        <w:t>),</w:t>
      </w:r>
    </w:p>
    <w:p w:rsidR="008D5B65" w:rsidRDefault="00C9534C">
      <w:pPr>
        <w:pStyle w:val="Akapitzlist"/>
        <w:numPr>
          <w:ilvl w:val="0"/>
          <w:numId w:val="2"/>
        </w:numPr>
        <w:tabs>
          <w:tab w:val="left" w:pos="272"/>
        </w:tabs>
        <w:ind w:right="110" w:hanging="142"/>
        <w:rPr>
          <w:sz w:val="24"/>
        </w:rPr>
      </w:pPr>
      <w:r>
        <w:rPr>
          <w:sz w:val="24"/>
        </w:rPr>
        <w:t>Art. 2 ust. 2-3 ustawy z dnia 24 czerwca 1994 r. o własności lokali (Dz. U. z 202</w:t>
      </w:r>
      <w:r w:rsidR="009E0CE0">
        <w:rPr>
          <w:sz w:val="24"/>
        </w:rPr>
        <w:t>1</w:t>
      </w:r>
      <w:r>
        <w:rPr>
          <w:sz w:val="24"/>
        </w:rPr>
        <w:t xml:space="preserve"> r., poz. 1048</w:t>
      </w:r>
      <w:r w:rsidR="009E0CE0">
        <w:rPr>
          <w:sz w:val="24"/>
        </w:rPr>
        <w:t xml:space="preserve"> z późn. zm.</w:t>
      </w:r>
      <w:r>
        <w:rPr>
          <w:sz w:val="24"/>
        </w:rPr>
        <w:t>).</w:t>
      </w:r>
    </w:p>
    <w:sectPr w:rsidR="008D5B65" w:rsidSect="008D5B65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6DAF"/>
    <w:multiLevelType w:val="hybridMultilevel"/>
    <w:tmpl w:val="E67CEA66"/>
    <w:lvl w:ilvl="0" w:tplc="0ACA5BC8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7F22C26C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421CA942">
      <w:numFmt w:val="bullet"/>
      <w:lvlText w:val="•"/>
      <w:lvlJc w:val="left"/>
      <w:pPr>
        <w:ind w:left="1956" w:hanging="181"/>
      </w:pPr>
      <w:rPr>
        <w:rFonts w:hint="default"/>
        <w:lang w:val="pl-PL" w:eastAsia="en-US" w:bidi="ar-SA"/>
      </w:rPr>
    </w:lvl>
    <w:lvl w:ilvl="3" w:tplc="FC481E3C">
      <w:numFmt w:val="bullet"/>
      <w:lvlText w:val="•"/>
      <w:lvlJc w:val="left"/>
      <w:pPr>
        <w:ind w:left="2874" w:hanging="181"/>
      </w:pPr>
      <w:rPr>
        <w:rFonts w:hint="default"/>
        <w:lang w:val="pl-PL" w:eastAsia="en-US" w:bidi="ar-SA"/>
      </w:rPr>
    </w:lvl>
    <w:lvl w:ilvl="4" w:tplc="4C00F97E">
      <w:numFmt w:val="bullet"/>
      <w:lvlText w:val="•"/>
      <w:lvlJc w:val="left"/>
      <w:pPr>
        <w:ind w:left="3792" w:hanging="181"/>
      </w:pPr>
      <w:rPr>
        <w:rFonts w:hint="default"/>
        <w:lang w:val="pl-PL" w:eastAsia="en-US" w:bidi="ar-SA"/>
      </w:rPr>
    </w:lvl>
    <w:lvl w:ilvl="5" w:tplc="0CE4EDFE">
      <w:numFmt w:val="bullet"/>
      <w:lvlText w:val="•"/>
      <w:lvlJc w:val="left"/>
      <w:pPr>
        <w:ind w:left="4710" w:hanging="181"/>
      </w:pPr>
      <w:rPr>
        <w:rFonts w:hint="default"/>
        <w:lang w:val="pl-PL" w:eastAsia="en-US" w:bidi="ar-SA"/>
      </w:rPr>
    </w:lvl>
    <w:lvl w:ilvl="6" w:tplc="ED4E5926">
      <w:numFmt w:val="bullet"/>
      <w:lvlText w:val="•"/>
      <w:lvlJc w:val="left"/>
      <w:pPr>
        <w:ind w:left="5628" w:hanging="181"/>
      </w:pPr>
      <w:rPr>
        <w:rFonts w:hint="default"/>
        <w:lang w:val="pl-PL" w:eastAsia="en-US" w:bidi="ar-SA"/>
      </w:rPr>
    </w:lvl>
    <w:lvl w:ilvl="7" w:tplc="8E7C94D6">
      <w:numFmt w:val="bullet"/>
      <w:lvlText w:val="•"/>
      <w:lvlJc w:val="left"/>
      <w:pPr>
        <w:ind w:left="6546" w:hanging="181"/>
      </w:pPr>
      <w:rPr>
        <w:rFonts w:hint="default"/>
        <w:lang w:val="pl-PL" w:eastAsia="en-US" w:bidi="ar-SA"/>
      </w:rPr>
    </w:lvl>
    <w:lvl w:ilvl="8" w:tplc="3A682B02">
      <w:numFmt w:val="bullet"/>
      <w:lvlText w:val="•"/>
      <w:lvlJc w:val="left"/>
      <w:pPr>
        <w:ind w:left="7464" w:hanging="181"/>
      </w:pPr>
      <w:rPr>
        <w:rFonts w:hint="default"/>
        <w:lang w:val="pl-PL" w:eastAsia="en-US" w:bidi="ar-SA"/>
      </w:rPr>
    </w:lvl>
  </w:abstractNum>
  <w:abstractNum w:abstractNumId="1">
    <w:nsid w:val="2B9A6B32"/>
    <w:multiLevelType w:val="hybridMultilevel"/>
    <w:tmpl w:val="7A72DC46"/>
    <w:lvl w:ilvl="0" w:tplc="EDA0CA8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53A3AEE">
      <w:numFmt w:val="bullet"/>
      <w:lvlText w:val="•"/>
      <w:lvlJc w:val="left"/>
      <w:pPr>
        <w:ind w:left="1164" w:hanging="140"/>
      </w:pPr>
      <w:rPr>
        <w:rFonts w:hint="default"/>
        <w:lang w:val="pl-PL" w:eastAsia="en-US" w:bidi="ar-SA"/>
      </w:rPr>
    </w:lvl>
    <w:lvl w:ilvl="2" w:tplc="3A16D452">
      <w:numFmt w:val="bullet"/>
      <w:lvlText w:val="•"/>
      <w:lvlJc w:val="left"/>
      <w:pPr>
        <w:ind w:left="2068" w:hanging="140"/>
      </w:pPr>
      <w:rPr>
        <w:rFonts w:hint="default"/>
        <w:lang w:val="pl-PL" w:eastAsia="en-US" w:bidi="ar-SA"/>
      </w:rPr>
    </w:lvl>
    <w:lvl w:ilvl="3" w:tplc="F1A8455E">
      <w:numFmt w:val="bullet"/>
      <w:lvlText w:val="•"/>
      <w:lvlJc w:val="left"/>
      <w:pPr>
        <w:ind w:left="2972" w:hanging="140"/>
      </w:pPr>
      <w:rPr>
        <w:rFonts w:hint="default"/>
        <w:lang w:val="pl-PL" w:eastAsia="en-US" w:bidi="ar-SA"/>
      </w:rPr>
    </w:lvl>
    <w:lvl w:ilvl="4" w:tplc="A6FCB87A">
      <w:numFmt w:val="bullet"/>
      <w:lvlText w:val="•"/>
      <w:lvlJc w:val="left"/>
      <w:pPr>
        <w:ind w:left="3876" w:hanging="140"/>
      </w:pPr>
      <w:rPr>
        <w:rFonts w:hint="default"/>
        <w:lang w:val="pl-PL" w:eastAsia="en-US" w:bidi="ar-SA"/>
      </w:rPr>
    </w:lvl>
    <w:lvl w:ilvl="5" w:tplc="AD2C173E">
      <w:numFmt w:val="bullet"/>
      <w:lvlText w:val="•"/>
      <w:lvlJc w:val="left"/>
      <w:pPr>
        <w:ind w:left="4780" w:hanging="140"/>
      </w:pPr>
      <w:rPr>
        <w:rFonts w:hint="default"/>
        <w:lang w:val="pl-PL" w:eastAsia="en-US" w:bidi="ar-SA"/>
      </w:rPr>
    </w:lvl>
    <w:lvl w:ilvl="6" w:tplc="F95E554E">
      <w:numFmt w:val="bullet"/>
      <w:lvlText w:val="•"/>
      <w:lvlJc w:val="left"/>
      <w:pPr>
        <w:ind w:left="5684" w:hanging="140"/>
      </w:pPr>
      <w:rPr>
        <w:rFonts w:hint="default"/>
        <w:lang w:val="pl-PL" w:eastAsia="en-US" w:bidi="ar-SA"/>
      </w:rPr>
    </w:lvl>
    <w:lvl w:ilvl="7" w:tplc="0DDE7268">
      <w:numFmt w:val="bullet"/>
      <w:lvlText w:val="•"/>
      <w:lvlJc w:val="left"/>
      <w:pPr>
        <w:ind w:left="6588" w:hanging="140"/>
      </w:pPr>
      <w:rPr>
        <w:rFonts w:hint="default"/>
        <w:lang w:val="pl-PL" w:eastAsia="en-US" w:bidi="ar-SA"/>
      </w:rPr>
    </w:lvl>
    <w:lvl w:ilvl="8" w:tplc="9DDEF062">
      <w:numFmt w:val="bullet"/>
      <w:lvlText w:val="•"/>
      <w:lvlJc w:val="left"/>
      <w:pPr>
        <w:ind w:left="7492" w:hanging="14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D5B65"/>
    <w:rsid w:val="0002666F"/>
    <w:rsid w:val="008D5B65"/>
    <w:rsid w:val="009E0CE0"/>
    <w:rsid w:val="00C9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D5B6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B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D5B65"/>
    <w:pPr>
      <w:ind w:left="115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8D5B65"/>
    <w:pPr>
      <w:spacing w:line="274" w:lineRule="exact"/>
      <w:ind w:left="11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D5B65"/>
    <w:pPr>
      <w:ind w:left="115" w:hanging="142"/>
    </w:pPr>
  </w:style>
  <w:style w:type="paragraph" w:customStyle="1" w:styleId="TableParagraph">
    <w:name w:val="Table Paragraph"/>
    <w:basedOn w:val="Normalny"/>
    <w:uiPriority w:val="1"/>
    <w:qFormat/>
    <w:rsid w:val="008D5B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12015 GN-Sprzedaż lokali mieszkalnych</dc:title>
  <dc:creator>alisowska</dc:creator>
  <cp:keywords>()</cp:keywords>
  <cp:lastModifiedBy>pomocgn</cp:lastModifiedBy>
  <cp:revision>3</cp:revision>
  <dcterms:created xsi:type="dcterms:W3CDTF">2021-12-30T15:25:00Z</dcterms:created>
  <dcterms:modified xsi:type="dcterms:W3CDTF">2023-11-07T09:54:00Z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2015-08-09T00:00:00Z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2021-12-30T00:00:00Z</vt:filetime>
  </property>
</Properties>
</file>