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B" w:rsidRDefault="00D31277">
      <w:pPr>
        <w:pStyle w:val="Heading1"/>
        <w:spacing w:before="72" w:line="240" w:lineRule="auto"/>
        <w:ind w:left="1790" w:right="1790"/>
        <w:jc w:val="center"/>
      </w:pPr>
      <w:r>
        <w:rPr>
          <w:color w:val="1E487C"/>
        </w:rPr>
        <w:t>Opłaty roczne z tytułu użytkowania wieczystego gruntu</w:t>
      </w:r>
    </w:p>
    <w:p w:rsidR="002C36DB" w:rsidRDefault="002C36DB">
      <w:pPr>
        <w:pStyle w:val="Tekstpodstawowy"/>
        <w:rPr>
          <w:b/>
        </w:rPr>
      </w:pPr>
    </w:p>
    <w:p w:rsidR="002C36DB" w:rsidRDefault="00D31277" w:rsidP="00BC554E">
      <w:pPr>
        <w:spacing w:line="274" w:lineRule="exact"/>
        <w:ind w:left="115"/>
        <w:jc w:val="both"/>
        <w:rPr>
          <w:b/>
          <w:sz w:val="24"/>
        </w:rPr>
      </w:pPr>
      <w:r>
        <w:rPr>
          <w:b/>
          <w:color w:val="1E487C"/>
          <w:sz w:val="24"/>
        </w:rPr>
        <w:t>Dotyczy:</w:t>
      </w:r>
    </w:p>
    <w:p w:rsidR="002C36DB" w:rsidRDefault="00D31277" w:rsidP="00BC554E">
      <w:pPr>
        <w:pStyle w:val="Tekstpodstawowy"/>
        <w:ind w:left="115" w:right="101"/>
        <w:jc w:val="both"/>
      </w:pPr>
      <w:r>
        <w:t>Naliczenia opłat rocznych z tytułu oddania nieruchomości w użytkowanie wieczyste. Aktualizacji opłat rocznych z tytułu użytkowania wieczystego (wykonuje się z urzędu bądź na wniosek użytkownika wieczystego nieruchomości gruntowej w przypadku zmiany wartości nieruchomości).</w:t>
      </w:r>
    </w:p>
    <w:p w:rsidR="002C36DB" w:rsidRDefault="002C36DB" w:rsidP="00BC554E">
      <w:pPr>
        <w:pStyle w:val="Tekstpodstawowy"/>
        <w:spacing w:before="3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Wymagane dokumenty:</w:t>
      </w:r>
    </w:p>
    <w:p w:rsidR="002C36DB" w:rsidRDefault="00D31277" w:rsidP="00BC554E">
      <w:pPr>
        <w:pStyle w:val="Akapitzlist"/>
        <w:numPr>
          <w:ilvl w:val="0"/>
          <w:numId w:val="1"/>
        </w:numPr>
        <w:tabs>
          <w:tab w:val="left" w:pos="256"/>
        </w:tabs>
        <w:ind w:right="186" w:hanging="142"/>
        <w:jc w:val="both"/>
        <w:rPr>
          <w:sz w:val="24"/>
        </w:rPr>
      </w:pPr>
      <w:r>
        <w:rPr>
          <w:sz w:val="24"/>
        </w:rPr>
        <w:t>wniosek o zmianę naliczenia opłaty rocznej w związku z nabyciem/zbyciem nieruchomości, w związku z nabyciem</w:t>
      </w:r>
      <w:r>
        <w:rPr>
          <w:spacing w:val="-1"/>
          <w:sz w:val="24"/>
        </w:rPr>
        <w:t xml:space="preserve"> </w:t>
      </w:r>
      <w:r>
        <w:rPr>
          <w:sz w:val="24"/>
        </w:rPr>
        <w:t>spadku.</w:t>
      </w:r>
    </w:p>
    <w:p w:rsidR="002C36DB" w:rsidRDefault="00D31277" w:rsidP="00BC554E">
      <w:pPr>
        <w:pStyle w:val="Akapitzlist"/>
        <w:numPr>
          <w:ilvl w:val="0"/>
          <w:numId w:val="1"/>
        </w:numPr>
        <w:tabs>
          <w:tab w:val="left" w:pos="256"/>
        </w:tabs>
        <w:ind w:left="255"/>
        <w:jc w:val="both"/>
        <w:rPr>
          <w:sz w:val="24"/>
        </w:rPr>
      </w:pPr>
      <w:r>
        <w:rPr>
          <w:sz w:val="24"/>
        </w:rPr>
        <w:t>dokumenty przenoszące nabyte prawo: akt notarialny, postanowienie</w:t>
      </w:r>
      <w:r>
        <w:rPr>
          <w:spacing w:val="-7"/>
          <w:sz w:val="24"/>
        </w:rPr>
        <w:t xml:space="preserve"> </w:t>
      </w:r>
      <w:r>
        <w:rPr>
          <w:sz w:val="24"/>
        </w:rPr>
        <w:t>Sądu.</w:t>
      </w:r>
    </w:p>
    <w:p w:rsidR="002C36DB" w:rsidRDefault="002C36DB" w:rsidP="00BC554E">
      <w:pPr>
        <w:pStyle w:val="Tekstpodstawowy"/>
        <w:spacing w:before="2"/>
        <w:jc w:val="both"/>
      </w:pPr>
    </w:p>
    <w:p w:rsidR="002C36DB" w:rsidRDefault="00D31277" w:rsidP="00BC554E">
      <w:pPr>
        <w:pStyle w:val="Heading1"/>
        <w:spacing w:before="1"/>
        <w:jc w:val="both"/>
      </w:pPr>
      <w:r>
        <w:rPr>
          <w:color w:val="1E487C"/>
        </w:rPr>
        <w:t>Opłaty:</w:t>
      </w:r>
    </w:p>
    <w:p w:rsidR="002C36DB" w:rsidRDefault="00D31277" w:rsidP="00BC554E">
      <w:pPr>
        <w:pStyle w:val="Tekstpodstawowy"/>
        <w:spacing w:line="274" w:lineRule="exact"/>
        <w:ind w:left="115"/>
        <w:jc w:val="both"/>
      </w:pPr>
      <w:r>
        <w:t>Od wniosku nie pobiera się opłaty skarbowej.</w:t>
      </w:r>
    </w:p>
    <w:p w:rsidR="002C36DB" w:rsidRDefault="002C36DB" w:rsidP="00BC554E">
      <w:pPr>
        <w:pStyle w:val="Tekstpodstawowy"/>
        <w:spacing w:before="4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Miejsce złożenia dokumentów:</w:t>
      </w:r>
    </w:p>
    <w:p w:rsidR="002C36DB" w:rsidRDefault="00D31277" w:rsidP="00BC554E">
      <w:pPr>
        <w:pStyle w:val="Tekstpodstawowy"/>
        <w:spacing w:line="274" w:lineRule="exact"/>
        <w:ind w:left="115"/>
        <w:jc w:val="both"/>
      </w:pPr>
      <w:r>
        <w:t>Biuro Obsługi Interesanta Urzędu Miejskiego w Bornem Sulinowie.</w:t>
      </w:r>
    </w:p>
    <w:p w:rsidR="002C36DB" w:rsidRDefault="002C36DB" w:rsidP="00BC554E">
      <w:pPr>
        <w:pStyle w:val="Tekstpodstawowy"/>
        <w:spacing w:before="5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Termin i sposób załatwienia sprawy:</w:t>
      </w:r>
    </w:p>
    <w:p w:rsidR="002C36DB" w:rsidRDefault="00D31277" w:rsidP="00BC554E">
      <w:pPr>
        <w:pStyle w:val="Tekstpodstawowy"/>
        <w:ind w:left="116" w:right="573"/>
        <w:jc w:val="both"/>
      </w:pPr>
      <w:r>
        <w:t xml:space="preserve">Termin załatwienia wniosku - w ciągu 1- go miesiąca, w sprawach szczególnych w ciągu 2- </w:t>
      </w:r>
      <w:r w:rsidR="00F54EB8">
        <w:t>ó</w:t>
      </w:r>
      <w:r>
        <w:t>ch miesięcy.</w:t>
      </w:r>
    </w:p>
    <w:p w:rsidR="002C36DB" w:rsidRDefault="002C36DB" w:rsidP="00BC554E">
      <w:pPr>
        <w:pStyle w:val="Tekstpodstawowy"/>
        <w:spacing w:before="3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Tryb odwoławczy:</w:t>
      </w:r>
    </w:p>
    <w:p w:rsidR="002C36DB" w:rsidRDefault="00D31277" w:rsidP="00BC554E">
      <w:pPr>
        <w:pStyle w:val="Tekstpodstawowy"/>
        <w:ind w:left="115" w:right="411"/>
        <w:jc w:val="both"/>
      </w:pPr>
      <w:r>
        <w:t>Za oddanie nieruchomości gruntowej w użytkowanie wieczyste pobiera sie pierwszą opłatę i opłaty roczne.</w:t>
      </w:r>
    </w:p>
    <w:p w:rsidR="002C36DB" w:rsidRDefault="00D31277" w:rsidP="00BC554E">
      <w:pPr>
        <w:pStyle w:val="Tekstpodstawowy"/>
        <w:ind w:left="116" w:right="107"/>
        <w:jc w:val="both"/>
      </w:pPr>
      <w:r>
        <w:t>Pierwsza opłata za  oddanie  nieruchomości gruntowej  w  użytkowanie  wieczyste  wynosi  od 15% do 25% i podlega jednorazowej zapłacie, nie później niż do dnia zawarcia umowy     o oddanie nieruchomości w użytkowanie</w:t>
      </w:r>
      <w:r>
        <w:rPr>
          <w:spacing w:val="-4"/>
        </w:rPr>
        <w:t xml:space="preserve"> </w:t>
      </w:r>
      <w:r>
        <w:t>wieczyste.</w:t>
      </w:r>
    </w:p>
    <w:p w:rsidR="002C36DB" w:rsidRDefault="00D31277" w:rsidP="00BC554E">
      <w:pPr>
        <w:pStyle w:val="Tekstpodstawowy"/>
        <w:ind w:left="115" w:right="301"/>
        <w:jc w:val="both"/>
      </w:pPr>
      <w:r>
        <w:t>Opłaty roczne wnosi się przez cały okres użytkowania wieczystego, w terminie do 31 marca każdego roku, z góry za dany rok.</w:t>
      </w:r>
    </w:p>
    <w:p w:rsidR="002C36DB" w:rsidRDefault="00D31277" w:rsidP="00BC554E">
      <w:pPr>
        <w:pStyle w:val="Tekstpodstawowy"/>
        <w:ind w:left="116"/>
        <w:jc w:val="both"/>
      </w:pPr>
      <w:r>
        <w:t>Opłaty z tytułu użytkowania wieczystego ustala się według stawki procentowej od ceny nieruchomości gruntowej i wynoszą od 0,3% - 6%.</w:t>
      </w:r>
    </w:p>
    <w:p w:rsidR="002C36DB" w:rsidRDefault="00D31277" w:rsidP="00BC554E">
      <w:pPr>
        <w:pStyle w:val="Tekstpodstawowy"/>
        <w:ind w:left="116"/>
        <w:jc w:val="both"/>
      </w:pPr>
      <w:r>
        <w:t>Wysokość stawki procentowej opłat rocznych z tytułu użytkowania wieczystego jest uzależniona od określonego w umowie celu, na jaki nieruchomość została oddana.</w:t>
      </w:r>
    </w:p>
    <w:p w:rsidR="002C36DB" w:rsidRDefault="00D31277" w:rsidP="00BC554E">
      <w:pPr>
        <w:pStyle w:val="Tekstpodstawowy"/>
        <w:ind w:left="116" w:right="106"/>
        <w:jc w:val="both"/>
      </w:pPr>
      <w:r>
        <w:t>Od decyzji o aktualizacji opłat rocznych przysługuje odwołanie w ciągu 30 dni od dnia otrzymania wypowiedzenia do Samorządowego Kolegium Odwoławczego w Koszalinie, za pośrednictwem Burmistrza Bornego Sulinowa.</w:t>
      </w:r>
    </w:p>
    <w:p w:rsidR="002C36DB" w:rsidRDefault="002C36DB" w:rsidP="00BC554E">
      <w:pPr>
        <w:pStyle w:val="Tekstpodstawowy"/>
        <w:spacing w:before="2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Jednostka odpowiedzialna:</w:t>
      </w:r>
    </w:p>
    <w:p w:rsidR="00F54EB8" w:rsidRDefault="00BC554E" w:rsidP="000E7EE7">
      <w:pPr>
        <w:pStyle w:val="Tekstpodstawowy"/>
        <w:ind w:left="115" w:right="1607"/>
        <w:jc w:val="both"/>
      </w:pPr>
      <w:r>
        <w:t xml:space="preserve">Kierownik </w:t>
      </w:r>
      <w:r w:rsidR="00D31277">
        <w:t>Referat</w:t>
      </w:r>
      <w:r>
        <w:t>u</w:t>
      </w:r>
      <w:r w:rsidR="00D31277">
        <w:t xml:space="preserve"> Gospodarki Nieruchomościami </w:t>
      </w:r>
    </w:p>
    <w:p w:rsidR="002C36DB" w:rsidRDefault="00F54EB8" w:rsidP="000E7EE7">
      <w:pPr>
        <w:pStyle w:val="Tekstpodstawowy"/>
        <w:ind w:left="115" w:right="1607"/>
        <w:jc w:val="both"/>
      </w:pPr>
      <w:r>
        <w:t>pok. nr 15</w:t>
      </w:r>
      <w:r w:rsidR="000E7EE7">
        <w:t xml:space="preserve">, </w:t>
      </w:r>
      <w:r w:rsidR="00D31277">
        <w:t>tel. 94 37-34-151</w:t>
      </w:r>
    </w:p>
    <w:p w:rsidR="002C36DB" w:rsidRDefault="002C36DB" w:rsidP="00BC554E">
      <w:pPr>
        <w:pStyle w:val="Tekstpodstawowy"/>
        <w:spacing w:before="3"/>
        <w:jc w:val="both"/>
      </w:pPr>
    </w:p>
    <w:p w:rsidR="002C36DB" w:rsidRDefault="00D31277" w:rsidP="00BC554E">
      <w:pPr>
        <w:pStyle w:val="Heading1"/>
        <w:jc w:val="both"/>
      </w:pPr>
      <w:r>
        <w:rPr>
          <w:color w:val="1E487C"/>
        </w:rPr>
        <w:t>Podstawa prawna:</w:t>
      </w:r>
    </w:p>
    <w:p w:rsidR="002C36DB" w:rsidRDefault="00D31277" w:rsidP="00765538">
      <w:pPr>
        <w:pStyle w:val="Akapitzlist"/>
        <w:numPr>
          <w:ilvl w:val="0"/>
          <w:numId w:val="1"/>
        </w:numPr>
        <w:tabs>
          <w:tab w:val="left" w:pos="306"/>
        </w:tabs>
        <w:ind w:right="107" w:hanging="142"/>
        <w:jc w:val="both"/>
        <w:rPr>
          <w:sz w:val="24"/>
        </w:rPr>
      </w:pPr>
      <w:r>
        <w:tab/>
      </w:r>
      <w:r>
        <w:rPr>
          <w:sz w:val="24"/>
        </w:rPr>
        <w:t>Art. 71- 81 ustawy z dnia 21 sierpnia 1997 r. o gospodarce nierucho</w:t>
      </w:r>
      <w:r w:rsidR="00BC554E">
        <w:rPr>
          <w:sz w:val="24"/>
        </w:rPr>
        <w:t xml:space="preserve">mościami </w:t>
      </w:r>
      <w:r>
        <w:rPr>
          <w:sz w:val="24"/>
        </w:rPr>
        <w:t xml:space="preserve">                 </w:t>
      </w:r>
      <w:r w:rsidR="00F54EB8">
        <w:rPr>
          <w:sz w:val="24"/>
        </w:rPr>
        <w:t>(Dz. U. z 2023</w:t>
      </w:r>
      <w:r w:rsidR="00BC554E">
        <w:rPr>
          <w:sz w:val="24"/>
        </w:rPr>
        <w:t xml:space="preserve">r., poz. </w:t>
      </w:r>
      <w:r w:rsidR="00F54EB8">
        <w:rPr>
          <w:sz w:val="24"/>
        </w:rPr>
        <w:t>344 z późn. zm.</w:t>
      </w:r>
      <w:r>
        <w:rPr>
          <w:sz w:val="24"/>
        </w:rPr>
        <w:t>).</w:t>
      </w:r>
    </w:p>
    <w:p w:rsidR="002C36DB" w:rsidRPr="007221F2" w:rsidRDefault="002C36DB" w:rsidP="007221F2">
      <w:pPr>
        <w:tabs>
          <w:tab w:val="left" w:pos="311"/>
        </w:tabs>
        <w:ind w:left="115" w:right="110"/>
        <w:jc w:val="both"/>
        <w:rPr>
          <w:sz w:val="24"/>
        </w:rPr>
      </w:pPr>
    </w:p>
    <w:sectPr w:rsidR="002C36DB" w:rsidRPr="007221F2" w:rsidSect="002C36DB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194"/>
    <w:multiLevelType w:val="hybridMultilevel"/>
    <w:tmpl w:val="51824F42"/>
    <w:lvl w:ilvl="0" w:tplc="2FBEF0E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E34F052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0DEC6320">
      <w:numFmt w:val="bullet"/>
      <w:lvlText w:val="•"/>
      <w:lvlJc w:val="left"/>
      <w:pPr>
        <w:ind w:left="2068" w:hanging="140"/>
      </w:pPr>
      <w:rPr>
        <w:rFonts w:hint="default"/>
        <w:lang w:val="pl-PL" w:eastAsia="en-US" w:bidi="ar-SA"/>
      </w:rPr>
    </w:lvl>
    <w:lvl w:ilvl="3" w:tplc="47E6CA84">
      <w:numFmt w:val="bullet"/>
      <w:lvlText w:val="•"/>
      <w:lvlJc w:val="left"/>
      <w:pPr>
        <w:ind w:left="2972" w:hanging="140"/>
      </w:pPr>
      <w:rPr>
        <w:rFonts w:hint="default"/>
        <w:lang w:val="pl-PL" w:eastAsia="en-US" w:bidi="ar-SA"/>
      </w:rPr>
    </w:lvl>
    <w:lvl w:ilvl="4" w:tplc="DF6236EC">
      <w:numFmt w:val="bullet"/>
      <w:lvlText w:val="•"/>
      <w:lvlJc w:val="left"/>
      <w:pPr>
        <w:ind w:left="3876" w:hanging="140"/>
      </w:pPr>
      <w:rPr>
        <w:rFonts w:hint="default"/>
        <w:lang w:val="pl-PL" w:eastAsia="en-US" w:bidi="ar-SA"/>
      </w:rPr>
    </w:lvl>
    <w:lvl w:ilvl="5" w:tplc="54DC0B06">
      <w:numFmt w:val="bullet"/>
      <w:lvlText w:val="•"/>
      <w:lvlJc w:val="left"/>
      <w:pPr>
        <w:ind w:left="4780" w:hanging="140"/>
      </w:pPr>
      <w:rPr>
        <w:rFonts w:hint="default"/>
        <w:lang w:val="pl-PL" w:eastAsia="en-US" w:bidi="ar-SA"/>
      </w:rPr>
    </w:lvl>
    <w:lvl w:ilvl="6" w:tplc="3FA03080">
      <w:numFmt w:val="bullet"/>
      <w:lvlText w:val="•"/>
      <w:lvlJc w:val="left"/>
      <w:pPr>
        <w:ind w:left="5684" w:hanging="140"/>
      </w:pPr>
      <w:rPr>
        <w:rFonts w:hint="default"/>
        <w:lang w:val="pl-PL" w:eastAsia="en-US" w:bidi="ar-SA"/>
      </w:rPr>
    </w:lvl>
    <w:lvl w:ilvl="7" w:tplc="17A8F1E8">
      <w:numFmt w:val="bullet"/>
      <w:lvlText w:val="•"/>
      <w:lvlJc w:val="left"/>
      <w:pPr>
        <w:ind w:left="6588" w:hanging="140"/>
      </w:pPr>
      <w:rPr>
        <w:rFonts w:hint="default"/>
        <w:lang w:val="pl-PL" w:eastAsia="en-US" w:bidi="ar-SA"/>
      </w:rPr>
    </w:lvl>
    <w:lvl w:ilvl="8" w:tplc="E5C40EB2">
      <w:numFmt w:val="bullet"/>
      <w:lvlText w:val="•"/>
      <w:lvlJc w:val="left"/>
      <w:pPr>
        <w:ind w:left="7492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36DB"/>
    <w:rsid w:val="000E7EE7"/>
    <w:rsid w:val="002C36DB"/>
    <w:rsid w:val="003614C3"/>
    <w:rsid w:val="00673AA0"/>
    <w:rsid w:val="007221F2"/>
    <w:rsid w:val="00765538"/>
    <w:rsid w:val="00900F2B"/>
    <w:rsid w:val="00BC25C0"/>
    <w:rsid w:val="00BC554E"/>
    <w:rsid w:val="00D31277"/>
    <w:rsid w:val="00F5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36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36D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C36DB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36DB"/>
    <w:pPr>
      <w:ind w:left="257" w:hanging="142"/>
    </w:pPr>
  </w:style>
  <w:style w:type="paragraph" w:customStyle="1" w:styleId="TableParagraph">
    <w:name w:val="Table Paragraph"/>
    <w:basedOn w:val="Normalny"/>
    <w:uiPriority w:val="1"/>
    <w:qFormat/>
    <w:rsid w:val="002C3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 GN-Opłaty roczne z tytułu użytkowania wieczystego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GN-Opłaty roczne z tytułu użytkowania wieczystego</dc:title>
  <dc:creator>alisowska</dc:creator>
  <cp:lastModifiedBy>pomocgn</cp:lastModifiedBy>
  <cp:revision>6</cp:revision>
  <dcterms:created xsi:type="dcterms:W3CDTF">2020-06-24T05:45:00Z</dcterms:created>
  <dcterms:modified xsi:type="dcterms:W3CDTF">2023-11-08T11:06:00Z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2020-06-24T00:00:00Z</vt:filetime>
  </property>
</Properties>
</file>