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5E" w:rsidRDefault="00CA5BEF" w:rsidP="00CA5BEF">
      <w:pPr>
        <w:pStyle w:val="Heading1"/>
        <w:spacing w:before="88" w:line="240" w:lineRule="auto"/>
        <w:ind w:left="2842" w:right="1844" w:hanging="980"/>
        <w:jc w:val="both"/>
      </w:pPr>
      <w:r>
        <w:rPr>
          <w:color w:val="1E487C"/>
        </w:rPr>
        <w:t>Zamiana nieruchomości stanowiących własność gminy na nieruchomości osób prywatnych</w:t>
      </w:r>
    </w:p>
    <w:p w:rsidR="003A135E" w:rsidRDefault="003A135E" w:rsidP="00CA5BEF">
      <w:pPr>
        <w:pStyle w:val="Tekstpodstawowy"/>
        <w:ind w:left="0"/>
        <w:jc w:val="both"/>
        <w:rPr>
          <w:b/>
        </w:rPr>
      </w:pPr>
    </w:p>
    <w:p w:rsidR="003A135E" w:rsidRDefault="00CA5BEF" w:rsidP="00CA5BEF">
      <w:pPr>
        <w:spacing w:before="1" w:line="274" w:lineRule="exact"/>
        <w:ind w:left="115"/>
        <w:jc w:val="both"/>
        <w:rPr>
          <w:b/>
          <w:sz w:val="24"/>
        </w:rPr>
      </w:pPr>
      <w:r>
        <w:rPr>
          <w:b/>
          <w:color w:val="1E487C"/>
          <w:sz w:val="24"/>
        </w:rPr>
        <w:t>Wymagane dokumenty:</w:t>
      </w:r>
    </w:p>
    <w:p w:rsidR="003A135E" w:rsidRDefault="00CA5BEF" w:rsidP="00CA5BEF">
      <w:pPr>
        <w:pStyle w:val="Tekstpodstawowy"/>
        <w:tabs>
          <w:tab w:val="left" w:pos="1179"/>
          <w:tab w:val="left" w:pos="1507"/>
          <w:tab w:val="left" w:pos="2515"/>
          <w:tab w:val="left" w:pos="4135"/>
          <w:tab w:val="left" w:pos="5105"/>
          <w:tab w:val="left" w:pos="5835"/>
          <w:tab w:val="left" w:pos="7469"/>
        </w:tabs>
        <w:ind w:right="112"/>
        <w:jc w:val="both"/>
      </w:pPr>
      <w:r>
        <w:t>Wniosek</w:t>
      </w:r>
      <w:r>
        <w:tab/>
        <w:t>o</w:t>
      </w:r>
      <w:r>
        <w:tab/>
        <w:t>zamianę</w:t>
      </w:r>
      <w:r>
        <w:tab/>
        <w:t>nieruchomości</w:t>
      </w:r>
      <w:r>
        <w:tab/>
        <w:t>złożony</w:t>
      </w:r>
      <w:r>
        <w:tab/>
        <w:t>przez</w:t>
      </w:r>
      <w:r>
        <w:tab/>
        <w:t>wnioskodawcę</w:t>
      </w:r>
      <w:r>
        <w:tab/>
      </w:r>
      <w:r>
        <w:rPr>
          <w:spacing w:val="-1"/>
        </w:rPr>
        <w:t xml:space="preserve">zainteresowanego </w:t>
      </w:r>
      <w:r>
        <w:t>dokonaniem zamiany</w:t>
      </w:r>
      <w:r>
        <w:rPr>
          <w:spacing w:val="-6"/>
        </w:rPr>
        <w:t xml:space="preserve"> </w:t>
      </w:r>
      <w:r>
        <w:t>nieruchomości.</w:t>
      </w:r>
    </w:p>
    <w:p w:rsidR="003A135E" w:rsidRDefault="00CA5BEF" w:rsidP="00CA5BEF">
      <w:pPr>
        <w:pStyle w:val="Tekstpodstawowy"/>
        <w:ind w:right="110"/>
        <w:jc w:val="both"/>
      </w:pPr>
      <w:r>
        <w:t>Aktualna mapa z zaznaczeniem nieruchomości, kt</w:t>
      </w:r>
      <w:r w:rsidR="00082543">
        <w:t>óre miałyby stanowić przedmiot</w:t>
      </w:r>
      <w:r>
        <w:t xml:space="preserve"> zamiany.</w:t>
      </w:r>
    </w:p>
    <w:p w:rsidR="003A135E" w:rsidRDefault="003A135E" w:rsidP="00CA5BEF">
      <w:pPr>
        <w:pStyle w:val="Tekstpodstawowy"/>
        <w:spacing w:before="2"/>
        <w:ind w:left="0"/>
        <w:jc w:val="both"/>
      </w:pPr>
    </w:p>
    <w:p w:rsidR="003A135E" w:rsidRDefault="00CA5BEF" w:rsidP="00CA5BEF">
      <w:pPr>
        <w:pStyle w:val="Heading1"/>
        <w:jc w:val="both"/>
      </w:pPr>
      <w:r>
        <w:rPr>
          <w:color w:val="1E487C"/>
        </w:rPr>
        <w:t>Opłaty:</w:t>
      </w:r>
    </w:p>
    <w:p w:rsidR="003A135E" w:rsidRDefault="00CA5BEF" w:rsidP="00CA5BEF">
      <w:pPr>
        <w:pStyle w:val="Tekstpodstawowy"/>
        <w:spacing w:line="274" w:lineRule="exact"/>
        <w:jc w:val="both"/>
      </w:pPr>
      <w:r>
        <w:t>Od wniosku nie pobiera się opłaty skarbowej.</w:t>
      </w:r>
    </w:p>
    <w:p w:rsidR="003A135E" w:rsidRDefault="003A135E" w:rsidP="00CA5BEF">
      <w:pPr>
        <w:pStyle w:val="Tekstpodstawowy"/>
        <w:spacing w:before="5"/>
        <w:ind w:left="0"/>
        <w:jc w:val="both"/>
      </w:pPr>
    </w:p>
    <w:p w:rsidR="003A135E" w:rsidRDefault="00CA5BEF" w:rsidP="00CA5BEF">
      <w:pPr>
        <w:pStyle w:val="Heading1"/>
        <w:jc w:val="both"/>
      </w:pPr>
      <w:r>
        <w:rPr>
          <w:color w:val="1E487C"/>
        </w:rPr>
        <w:t>Miejsce złożenia dokumentów:</w:t>
      </w:r>
    </w:p>
    <w:p w:rsidR="003A135E" w:rsidRDefault="00CA5BEF" w:rsidP="00CA5BEF">
      <w:pPr>
        <w:pStyle w:val="Tekstpodstawowy"/>
        <w:spacing w:line="274" w:lineRule="exact"/>
        <w:jc w:val="both"/>
      </w:pPr>
      <w:r>
        <w:t>Biuro Obsługi Interesanta Urzędu Miejskiego w Bornem Sulinowie.</w:t>
      </w:r>
    </w:p>
    <w:p w:rsidR="003A135E" w:rsidRDefault="003A135E" w:rsidP="00CA5BEF">
      <w:pPr>
        <w:pStyle w:val="Tekstpodstawowy"/>
        <w:spacing w:before="5"/>
        <w:ind w:left="0"/>
        <w:jc w:val="both"/>
      </w:pPr>
    </w:p>
    <w:p w:rsidR="003A135E" w:rsidRDefault="00CA5BEF" w:rsidP="00CA5BEF">
      <w:pPr>
        <w:pStyle w:val="Heading1"/>
        <w:jc w:val="both"/>
      </w:pPr>
      <w:r>
        <w:rPr>
          <w:color w:val="1E487C"/>
        </w:rPr>
        <w:t>Termin i sposób załatwienia sprawy:</w:t>
      </w:r>
    </w:p>
    <w:p w:rsidR="003A135E" w:rsidRDefault="00CA5BEF" w:rsidP="00CA5BEF">
      <w:pPr>
        <w:pStyle w:val="Tekstpodstawowy"/>
        <w:ind w:right="105"/>
        <w:jc w:val="both"/>
      </w:pPr>
      <w:r>
        <w:t>Postępowanie  w  ww.  sprawach   wszczyna   się   na   wniosek   osoby   zainteresowanej.   Po przeprowadzeniu postępowania przygotowawczego, mającego na celu uzyskanie niezbędnych informacji i opinii na temat dokonania zamiany nieruchomości, sprawa zostaje skierowana do Burmistrza Bornego Sulinowa, w celu wyrażenia zgody. Po uzyskaniu akceptacji Pani Burmistrz zostaje przygotowywany projekt uchwały o dokonaniu zamiany nieruchomości. Po podjęciu przez Radę Miejską w Bornem Sulinowie pozytywnej uchwały, zlecana jest rzeczoznawcy majątkowemu wycena przedmiotowych</w:t>
      </w:r>
      <w:r>
        <w:rPr>
          <w:spacing w:val="-7"/>
        </w:rPr>
        <w:t xml:space="preserve"> </w:t>
      </w:r>
      <w:r>
        <w:t>nieruchomości.</w:t>
      </w:r>
    </w:p>
    <w:p w:rsidR="003A135E" w:rsidRDefault="00CA5BEF" w:rsidP="00CA5BEF">
      <w:pPr>
        <w:pStyle w:val="Tekstpodstawowy"/>
        <w:ind w:right="110"/>
        <w:jc w:val="both"/>
      </w:pPr>
      <w:r>
        <w:t>W przypadku nierównej wartości zamienianych nieruchomości stosuje się dopłatę, której wysokość jest równa różnicy wartości zamienianych nieruchomości.</w:t>
      </w:r>
    </w:p>
    <w:p w:rsidR="003A135E" w:rsidRDefault="00CA5BEF" w:rsidP="00CA5BEF">
      <w:pPr>
        <w:pStyle w:val="Tekstpodstawowy"/>
        <w:jc w:val="both"/>
      </w:pPr>
      <w:r>
        <w:t>Termin realizacji ok. 3-4 miesięcy.</w:t>
      </w:r>
    </w:p>
    <w:p w:rsidR="003A135E" w:rsidRDefault="003A135E" w:rsidP="00CA5BEF">
      <w:pPr>
        <w:pStyle w:val="Tekstpodstawowy"/>
        <w:spacing w:before="2"/>
        <w:ind w:left="0"/>
        <w:jc w:val="both"/>
      </w:pPr>
    </w:p>
    <w:p w:rsidR="003A135E" w:rsidRDefault="00CA5BEF" w:rsidP="00CA5BEF">
      <w:pPr>
        <w:pStyle w:val="Heading1"/>
        <w:jc w:val="both"/>
      </w:pPr>
      <w:r>
        <w:rPr>
          <w:color w:val="1E487C"/>
        </w:rPr>
        <w:t>Jednostka odpowiedzialna:</w:t>
      </w:r>
    </w:p>
    <w:p w:rsidR="00081FE7" w:rsidRDefault="00CA5BEF" w:rsidP="00082543">
      <w:pPr>
        <w:pStyle w:val="Tekstpodstawowy"/>
        <w:ind w:right="1560"/>
        <w:jc w:val="both"/>
      </w:pPr>
      <w:r>
        <w:t xml:space="preserve">Kierownik Referatu Gospodarki Nieruchomościami </w:t>
      </w:r>
    </w:p>
    <w:p w:rsidR="003A135E" w:rsidRDefault="00081FE7" w:rsidP="00082543">
      <w:pPr>
        <w:pStyle w:val="Tekstpodstawowy"/>
        <w:ind w:right="1560"/>
        <w:jc w:val="both"/>
      </w:pPr>
      <w:r>
        <w:t>pok. nr 15</w:t>
      </w:r>
      <w:r w:rsidR="00082543">
        <w:t xml:space="preserve">, </w:t>
      </w:r>
      <w:r w:rsidR="00CA5BEF">
        <w:t>tel. 94 37-34-151</w:t>
      </w:r>
    </w:p>
    <w:p w:rsidR="003A135E" w:rsidRDefault="003A135E" w:rsidP="00CA5BEF">
      <w:pPr>
        <w:pStyle w:val="Tekstpodstawowy"/>
        <w:spacing w:before="3"/>
        <w:ind w:left="0"/>
        <w:jc w:val="both"/>
      </w:pPr>
    </w:p>
    <w:p w:rsidR="003A135E" w:rsidRDefault="00CA5BEF" w:rsidP="00CA5BEF">
      <w:pPr>
        <w:pStyle w:val="Heading1"/>
        <w:jc w:val="both"/>
      </w:pPr>
      <w:r>
        <w:rPr>
          <w:color w:val="1E487C"/>
        </w:rPr>
        <w:t>Podstawa prawna:</w:t>
      </w:r>
    </w:p>
    <w:p w:rsidR="003A135E" w:rsidRDefault="00CA5BEF" w:rsidP="00CA5BEF">
      <w:pPr>
        <w:pStyle w:val="Akapitzlist"/>
        <w:numPr>
          <w:ilvl w:val="0"/>
          <w:numId w:val="1"/>
        </w:numPr>
        <w:tabs>
          <w:tab w:val="left" w:pos="265"/>
        </w:tabs>
        <w:ind w:left="115" w:right="112" w:firstLine="0"/>
        <w:jc w:val="both"/>
        <w:rPr>
          <w:sz w:val="24"/>
        </w:rPr>
      </w:pPr>
      <w:r>
        <w:rPr>
          <w:sz w:val="24"/>
        </w:rPr>
        <w:t>Art. 15 ustawy z dnia 21 sierpnia 1997r. o gospodarce</w:t>
      </w:r>
      <w:r w:rsidR="00081FE7">
        <w:rPr>
          <w:sz w:val="24"/>
        </w:rPr>
        <w:t xml:space="preserve"> nieruchomościami (Dz. U. z 2023</w:t>
      </w:r>
      <w:r>
        <w:rPr>
          <w:sz w:val="24"/>
        </w:rPr>
        <w:t xml:space="preserve">r., poz. </w:t>
      </w:r>
      <w:r w:rsidR="00081FE7">
        <w:rPr>
          <w:sz w:val="24"/>
        </w:rPr>
        <w:t>344 z późn. zm.</w:t>
      </w:r>
      <w:r w:rsidR="00082543">
        <w:rPr>
          <w:sz w:val="24"/>
        </w:rPr>
        <w:t>),</w:t>
      </w:r>
    </w:p>
    <w:p w:rsidR="003A135E" w:rsidRDefault="00CA5BEF" w:rsidP="00CA5BEF">
      <w:pPr>
        <w:pStyle w:val="Akapitzlist"/>
        <w:numPr>
          <w:ilvl w:val="0"/>
          <w:numId w:val="1"/>
        </w:numPr>
        <w:tabs>
          <w:tab w:val="left" w:pos="289"/>
        </w:tabs>
        <w:ind w:left="115" w:firstLine="0"/>
        <w:jc w:val="both"/>
        <w:rPr>
          <w:sz w:val="24"/>
        </w:rPr>
      </w:pPr>
      <w:r>
        <w:rPr>
          <w:sz w:val="24"/>
        </w:rPr>
        <w:t>Art. 18  ust.2 pkt.  9 lit. a ustawy z  dnia  8 marca 1990 r.  o samor</w:t>
      </w:r>
      <w:r w:rsidR="00EE40CE">
        <w:rPr>
          <w:sz w:val="24"/>
        </w:rPr>
        <w:t>ządzie gminnym          (Dz. U.</w:t>
      </w:r>
      <w:r w:rsidR="00081FE7">
        <w:rPr>
          <w:sz w:val="24"/>
        </w:rPr>
        <w:t xml:space="preserve">  z 2022</w:t>
      </w:r>
      <w:r>
        <w:rPr>
          <w:sz w:val="24"/>
        </w:rPr>
        <w:t xml:space="preserve">r., poz. </w:t>
      </w:r>
      <w:r w:rsidR="00081FE7">
        <w:rPr>
          <w:sz w:val="24"/>
        </w:rPr>
        <w:t>40 z późn. zm.</w:t>
      </w:r>
      <w:r>
        <w:rPr>
          <w:sz w:val="24"/>
        </w:rPr>
        <w:t>).</w:t>
      </w:r>
    </w:p>
    <w:sectPr w:rsidR="003A135E" w:rsidSect="003A135E">
      <w:type w:val="continuous"/>
      <w:pgSz w:w="1190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222"/>
    <w:multiLevelType w:val="hybridMultilevel"/>
    <w:tmpl w:val="68E6D138"/>
    <w:lvl w:ilvl="0" w:tplc="FC5CF09A">
      <w:numFmt w:val="bullet"/>
      <w:lvlText w:val="-"/>
      <w:lvlJc w:val="left"/>
      <w:pPr>
        <w:ind w:left="11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8D48B82">
      <w:numFmt w:val="bullet"/>
      <w:lvlText w:val="•"/>
      <w:lvlJc w:val="left"/>
      <w:pPr>
        <w:ind w:left="1038" w:hanging="149"/>
      </w:pPr>
      <w:rPr>
        <w:rFonts w:hint="default"/>
        <w:lang w:val="pl-PL" w:eastAsia="en-US" w:bidi="ar-SA"/>
      </w:rPr>
    </w:lvl>
    <w:lvl w:ilvl="2" w:tplc="5FF840B2">
      <w:numFmt w:val="bullet"/>
      <w:lvlText w:val="•"/>
      <w:lvlJc w:val="left"/>
      <w:pPr>
        <w:ind w:left="1956" w:hanging="149"/>
      </w:pPr>
      <w:rPr>
        <w:rFonts w:hint="default"/>
        <w:lang w:val="pl-PL" w:eastAsia="en-US" w:bidi="ar-SA"/>
      </w:rPr>
    </w:lvl>
    <w:lvl w:ilvl="3" w:tplc="53DED53E">
      <w:numFmt w:val="bullet"/>
      <w:lvlText w:val="•"/>
      <w:lvlJc w:val="left"/>
      <w:pPr>
        <w:ind w:left="2874" w:hanging="149"/>
      </w:pPr>
      <w:rPr>
        <w:rFonts w:hint="default"/>
        <w:lang w:val="pl-PL" w:eastAsia="en-US" w:bidi="ar-SA"/>
      </w:rPr>
    </w:lvl>
    <w:lvl w:ilvl="4" w:tplc="5A5E2394">
      <w:numFmt w:val="bullet"/>
      <w:lvlText w:val="•"/>
      <w:lvlJc w:val="left"/>
      <w:pPr>
        <w:ind w:left="3792" w:hanging="149"/>
      </w:pPr>
      <w:rPr>
        <w:rFonts w:hint="default"/>
        <w:lang w:val="pl-PL" w:eastAsia="en-US" w:bidi="ar-SA"/>
      </w:rPr>
    </w:lvl>
    <w:lvl w:ilvl="5" w:tplc="2F3C7E70">
      <w:numFmt w:val="bullet"/>
      <w:lvlText w:val="•"/>
      <w:lvlJc w:val="left"/>
      <w:pPr>
        <w:ind w:left="4710" w:hanging="149"/>
      </w:pPr>
      <w:rPr>
        <w:rFonts w:hint="default"/>
        <w:lang w:val="pl-PL" w:eastAsia="en-US" w:bidi="ar-SA"/>
      </w:rPr>
    </w:lvl>
    <w:lvl w:ilvl="6" w:tplc="205CCBCC">
      <w:numFmt w:val="bullet"/>
      <w:lvlText w:val="•"/>
      <w:lvlJc w:val="left"/>
      <w:pPr>
        <w:ind w:left="5628" w:hanging="149"/>
      </w:pPr>
      <w:rPr>
        <w:rFonts w:hint="default"/>
        <w:lang w:val="pl-PL" w:eastAsia="en-US" w:bidi="ar-SA"/>
      </w:rPr>
    </w:lvl>
    <w:lvl w:ilvl="7" w:tplc="F86AB500">
      <w:numFmt w:val="bullet"/>
      <w:lvlText w:val="•"/>
      <w:lvlJc w:val="left"/>
      <w:pPr>
        <w:ind w:left="6546" w:hanging="149"/>
      </w:pPr>
      <w:rPr>
        <w:rFonts w:hint="default"/>
        <w:lang w:val="pl-PL" w:eastAsia="en-US" w:bidi="ar-SA"/>
      </w:rPr>
    </w:lvl>
    <w:lvl w:ilvl="8" w:tplc="40F0AF52">
      <w:numFmt w:val="bullet"/>
      <w:lvlText w:val="•"/>
      <w:lvlJc w:val="left"/>
      <w:pPr>
        <w:ind w:left="7464" w:hanging="149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A135E"/>
    <w:rsid w:val="00081FE7"/>
    <w:rsid w:val="00082543"/>
    <w:rsid w:val="003A135E"/>
    <w:rsid w:val="005621D0"/>
    <w:rsid w:val="00C5201E"/>
    <w:rsid w:val="00CA5BEF"/>
    <w:rsid w:val="00D33324"/>
    <w:rsid w:val="00EE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A135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13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A135E"/>
    <w:pPr>
      <w:ind w:left="115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3A135E"/>
    <w:pPr>
      <w:spacing w:line="274" w:lineRule="exact"/>
      <w:ind w:left="115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3A135E"/>
    <w:pPr>
      <w:ind w:left="115" w:right="110"/>
    </w:pPr>
  </w:style>
  <w:style w:type="paragraph" w:customStyle="1" w:styleId="TableParagraph">
    <w:name w:val="Table Paragraph"/>
    <w:basedOn w:val="Normalny"/>
    <w:uiPriority w:val="1"/>
    <w:qFormat/>
    <w:rsid w:val="003A13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GN-Zamiana nieruchomości stanowiących własność gminy</dc:title>
  <dc:creator>alisowska</dc:creator>
  <cp:lastModifiedBy>pomocgn</cp:lastModifiedBy>
  <cp:revision>6</cp:revision>
  <dcterms:created xsi:type="dcterms:W3CDTF">2020-06-23T09:17:00Z</dcterms:created>
  <dcterms:modified xsi:type="dcterms:W3CDTF">2023-11-07T10:06:00Z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2015-08-09T00:00:00Z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2020-06-23T00:00:00Z</vt:filetime>
  </property>
</Properties>
</file>